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A" w:rsidRPr="00B96FB2" w:rsidRDefault="006547EA" w:rsidP="006547EA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A1420A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14.55pt;width:117.95pt;height:87pt;z-index:251658240;mso-wrap-edited:f" wrapcoords="-150 0 -150 21440 21600 21440 21600 0 -150 0">
            <v:imagedata r:id="rId4" o:title=""/>
            <w10:wrap type="tight"/>
          </v:shape>
          <o:OLEObject Type="Embed" ProgID="PBrush" ShapeID="_x0000_s1026" DrawAspect="Content" ObjectID="_1764416506" r:id="rId5"/>
        </w:pict>
      </w:r>
      <w:r w:rsidRPr="00B96FB2">
        <w:rPr>
          <w:rFonts w:ascii="Kunstler Script" w:hAnsi="Kunstler Script"/>
          <w:b/>
          <w:sz w:val="52"/>
          <w:szCs w:val="52"/>
        </w:rPr>
        <w:t>Estado de Santa Catarina</w:t>
      </w:r>
    </w:p>
    <w:p w:rsidR="006547EA" w:rsidRPr="00B96FB2" w:rsidRDefault="006547EA" w:rsidP="006547EA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B96FB2">
        <w:rPr>
          <w:rFonts w:ascii="Kunstler Script" w:hAnsi="Kunstler Script"/>
          <w:b/>
          <w:sz w:val="52"/>
          <w:szCs w:val="52"/>
        </w:rPr>
        <w:t>Prefeitura do Município de Santa Cecília</w:t>
      </w:r>
    </w:p>
    <w:p w:rsidR="006547EA" w:rsidRDefault="006547EA" w:rsidP="006547EA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6547EA" w:rsidRPr="00B00C88" w:rsidRDefault="006547EA" w:rsidP="006547EA">
      <w:pPr>
        <w:spacing w:after="74"/>
        <w:ind w:left="33" w:firstLine="38"/>
        <w:rPr>
          <w:rFonts w:ascii="Arial" w:hAnsi="Arial" w:cs="Arial"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 xml:space="preserve">                                   </w:t>
      </w:r>
      <w:r w:rsidRPr="00B00C88">
        <w:rPr>
          <w:rFonts w:ascii="Arial" w:eastAsia="Garamond" w:hAnsi="Arial" w:cs="Arial"/>
          <w:b/>
          <w:sz w:val="24"/>
          <w:szCs w:val="24"/>
          <w:u w:val="single" w:color="000000"/>
        </w:rPr>
        <w:t>EDITAL Nº</w:t>
      </w:r>
      <w:r>
        <w:rPr>
          <w:rFonts w:ascii="Arial" w:eastAsia="Garamond" w:hAnsi="Arial" w:cs="Arial"/>
          <w:b/>
          <w:sz w:val="24"/>
          <w:szCs w:val="24"/>
          <w:u w:val="single" w:color="000000"/>
        </w:rPr>
        <w:t xml:space="preserve"> 04/2023</w:t>
      </w:r>
    </w:p>
    <w:p w:rsidR="00927232" w:rsidRPr="00B00C88" w:rsidRDefault="00927232" w:rsidP="00B00C88">
      <w:pPr>
        <w:spacing w:after="0"/>
        <w:ind w:left="46" w:firstLine="2222"/>
        <w:jc w:val="both"/>
        <w:rPr>
          <w:rFonts w:ascii="Arial" w:hAnsi="Arial" w:cs="Arial"/>
          <w:sz w:val="24"/>
          <w:szCs w:val="24"/>
        </w:rPr>
      </w:pPr>
    </w:p>
    <w:p w:rsidR="006547EA" w:rsidRDefault="006547EA" w:rsidP="00435055">
      <w:pPr>
        <w:spacing w:after="0"/>
        <w:ind w:left="-5" w:right="-10" w:firstLine="38"/>
        <w:jc w:val="center"/>
        <w:rPr>
          <w:rFonts w:ascii="Arial" w:eastAsia="Garamond" w:hAnsi="Arial" w:cs="Arial"/>
          <w:b/>
          <w:sz w:val="24"/>
          <w:szCs w:val="24"/>
        </w:rPr>
      </w:pPr>
    </w:p>
    <w:p w:rsidR="006547EA" w:rsidRDefault="00435055" w:rsidP="00435055">
      <w:pPr>
        <w:spacing w:after="0"/>
        <w:ind w:left="-5" w:right="-10" w:firstLine="38"/>
        <w:jc w:val="center"/>
        <w:rPr>
          <w:rFonts w:ascii="Arial" w:eastAsia="Garamond" w:hAnsi="Arial" w:cs="Arial"/>
          <w:b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 xml:space="preserve">RESULTADOS DA ANÁLISE DE MÉRITO CULTURAL DOS PROJETOS INSCRITOS </w:t>
      </w:r>
    </w:p>
    <w:p w:rsidR="006547EA" w:rsidRDefault="006547EA" w:rsidP="00435055">
      <w:pPr>
        <w:spacing w:after="0"/>
        <w:ind w:left="-5" w:right="-10" w:firstLine="38"/>
        <w:jc w:val="center"/>
        <w:rPr>
          <w:rFonts w:ascii="Arial" w:eastAsia="Garamond" w:hAnsi="Arial" w:cs="Arial"/>
          <w:b/>
          <w:sz w:val="24"/>
          <w:szCs w:val="24"/>
        </w:rPr>
      </w:pPr>
    </w:p>
    <w:p w:rsidR="006547EA" w:rsidRDefault="006547EA" w:rsidP="00435055">
      <w:pPr>
        <w:spacing w:after="0"/>
        <w:ind w:left="-5" w:right="-10" w:firstLine="38"/>
        <w:jc w:val="center"/>
        <w:rPr>
          <w:rFonts w:ascii="Arial" w:eastAsia="Garamond" w:hAnsi="Arial" w:cs="Arial"/>
          <w:b/>
          <w:sz w:val="24"/>
          <w:szCs w:val="24"/>
        </w:rPr>
      </w:pPr>
    </w:p>
    <w:p w:rsidR="00927232" w:rsidRPr="00B00C88" w:rsidRDefault="00435055" w:rsidP="00435055">
      <w:pPr>
        <w:spacing w:after="0"/>
        <w:ind w:left="-5" w:right="-10" w:firstLine="38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 xml:space="preserve">NOS EDITAIS DA </w:t>
      </w:r>
      <w:r w:rsidR="00B00C88" w:rsidRPr="00B00C88">
        <w:rPr>
          <w:rFonts w:ascii="Arial" w:eastAsia="Garamond" w:hAnsi="Arial" w:cs="Arial"/>
          <w:b/>
          <w:sz w:val="24"/>
          <w:szCs w:val="24"/>
        </w:rPr>
        <w:t>LEI PAULO</w:t>
      </w:r>
      <w:r w:rsidR="006547EA">
        <w:rPr>
          <w:rFonts w:ascii="Arial" w:eastAsia="Garamond" w:hAnsi="Arial" w:cs="Arial"/>
          <w:b/>
          <w:sz w:val="24"/>
          <w:szCs w:val="24"/>
        </w:rPr>
        <w:t xml:space="preserve"> </w:t>
      </w:r>
      <w:r w:rsidR="00B00C88" w:rsidRPr="00B00C88">
        <w:rPr>
          <w:rFonts w:ascii="Arial" w:eastAsia="Garamond" w:hAnsi="Arial" w:cs="Arial"/>
          <w:b/>
          <w:sz w:val="24"/>
          <w:szCs w:val="24"/>
        </w:rPr>
        <w:t xml:space="preserve">GUSTAVO </w:t>
      </w:r>
      <w:r w:rsidR="00B00C88">
        <w:rPr>
          <w:rFonts w:ascii="Arial" w:eastAsia="Garamond" w:hAnsi="Arial" w:cs="Arial"/>
          <w:b/>
          <w:sz w:val="24"/>
          <w:szCs w:val="24"/>
        </w:rPr>
        <w:t>(LC nº 195/2022)</w:t>
      </w:r>
    </w:p>
    <w:p w:rsidR="00927232" w:rsidRPr="00B00C88" w:rsidRDefault="00927232" w:rsidP="00B00C88">
      <w:pPr>
        <w:spacing w:after="112"/>
        <w:ind w:firstLine="2222"/>
        <w:jc w:val="both"/>
        <w:rPr>
          <w:rFonts w:ascii="Arial" w:hAnsi="Arial" w:cs="Arial"/>
          <w:sz w:val="24"/>
          <w:szCs w:val="24"/>
        </w:rPr>
      </w:pPr>
    </w:p>
    <w:p w:rsidR="00927232" w:rsidRDefault="00B00C88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B00C88">
        <w:rPr>
          <w:rFonts w:ascii="Arial" w:eastAsia="Garamond" w:hAnsi="Arial" w:cs="Arial"/>
          <w:sz w:val="24"/>
          <w:szCs w:val="24"/>
        </w:rPr>
        <w:t xml:space="preserve">A Prefeita Municipal de Santa Cecília/SC </w:t>
      </w:r>
      <w:r>
        <w:rPr>
          <w:rFonts w:ascii="Arial" w:eastAsia="Garamond" w:hAnsi="Arial" w:cs="Arial"/>
          <w:sz w:val="24"/>
          <w:szCs w:val="24"/>
        </w:rPr>
        <w:t>n</w:t>
      </w:r>
      <w:r w:rsidRPr="00B00C88">
        <w:rPr>
          <w:rFonts w:ascii="Arial" w:eastAsia="Garamond" w:hAnsi="Arial" w:cs="Arial"/>
          <w:sz w:val="24"/>
          <w:szCs w:val="24"/>
        </w:rPr>
        <w:t xml:space="preserve">o uso de suas atribuições legais e em atendimento às disposições do Decreto Federal nº 11.525, de 11 de maio de 2023, e da Lei Complementar nº 195, de </w:t>
      </w:r>
      <w:proofErr w:type="gramStart"/>
      <w:r w:rsidRPr="00B00C88">
        <w:rPr>
          <w:rFonts w:ascii="Arial" w:eastAsia="Garamond" w:hAnsi="Arial" w:cs="Arial"/>
          <w:sz w:val="24"/>
          <w:szCs w:val="24"/>
        </w:rPr>
        <w:t>8</w:t>
      </w:r>
      <w:proofErr w:type="gramEnd"/>
      <w:r w:rsidRPr="00B00C88">
        <w:rPr>
          <w:rFonts w:ascii="Arial" w:eastAsia="Garamond" w:hAnsi="Arial" w:cs="Arial"/>
          <w:sz w:val="24"/>
          <w:szCs w:val="24"/>
        </w:rPr>
        <w:t xml:space="preserve"> de julho de </w:t>
      </w:r>
      <w:r w:rsidR="00435055">
        <w:rPr>
          <w:rFonts w:ascii="Arial" w:eastAsia="Garamond" w:hAnsi="Arial" w:cs="Arial"/>
          <w:sz w:val="24"/>
          <w:szCs w:val="24"/>
        </w:rPr>
        <w:t xml:space="preserve">2022 (Lei Paulo Gustavo - LPG), bem como ao disposto nos editais de chamamento público n. 01/2023 e 02/2023 torna público o RESULTADO </w:t>
      </w:r>
      <w:r w:rsidR="007F19C0">
        <w:rPr>
          <w:rFonts w:ascii="Arial" w:eastAsia="Garamond" w:hAnsi="Arial" w:cs="Arial"/>
          <w:sz w:val="24"/>
          <w:szCs w:val="24"/>
        </w:rPr>
        <w:t>DEFINITIVO</w:t>
      </w:r>
      <w:r w:rsidR="00435055">
        <w:rPr>
          <w:rFonts w:ascii="Arial" w:eastAsia="Garamond" w:hAnsi="Arial" w:cs="Arial"/>
          <w:sz w:val="24"/>
          <w:szCs w:val="24"/>
        </w:rPr>
        <w:t xml:space="preserve"> da análise de mérito cultural dos projeto</w:t>
      </w:r>
      <w:r w:rsidR="007F19C0">
        <w:rPr>
          <w:rFonts w:ascii="Arial" w:eastAsia="Garamond" w:hAnsi="Arial" w:cs="Arial"/>
          <w:sz w:val="24"/>
          <w:szCs w:val="24"/>
        </w:rPr>
        <w:t>s inscritos nos citados editais.</w:t>
      </w:r>
    </w:p>
    <w:p w:rsidR="007F19C0" w:rsidRDefault="007F19C0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Considerando as disposições dos referidos editais e legislações acima fica autorizado o remanejamento dos recursos de modo a contemplar os projetos classificados como suplentes no edital de resultado provisório. </w:t>
      </w:r>
    </w:p>
    <w:p w:rsidR="00435055" w:rsidRDefault="007F19C0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A lista final dos projetos habilitados é a seguinte:</w:t>
      </w:r>
    </w:p>
    <w:p w:rsidR="007D1704" w:rsidRDefault="007D1704" w:rsidP="007F19C0">
      <w:pPr>
        <w:spacing w:after="112"/>
        <w:ind w:right="3"/>
        <w:jc w:val="both"/>
        <w:rPr>
          <w:rFonts w:ascii="Arial" w:eastAsia="Garamond" w:hAnsi="Arial" w:cs="Arial"/>
          <w:sz w:val="24"/>
          <w:szCs w:val="24"/>
        </w:rPr>
      </w:pPr>
    </w:p>
    <w:tbl>
      <w:tblPr>
        <w:tblStyle w:val="Tabelacomgrade"/>
        <w:tblW w:w="9209" w:type="dxa"/>
        <w:tblLook w:val="04A0"/>
      </w:tblPr>
      <w:tblGrid>
        <w:gridCol w:w="4106"/>
        <w:gridCol w:w="3402"/>
        <w:gridCol w:w="1701"/>
      </w:tblGrid>
      <w:tr w:rsidR="007F19C0" w:rsidTr="007D1704">
        <w:tc>
          <w:tcPr>
            <w:tcW w:w="4106" w:type="dxa"/>
          </w:tcPr>
          <w:p w:rsidR="007F19C0" w:rsidRPr="006547EA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6547EA">
              <w:rPr>
                <w:rFonts w:ascii="Arial" w:eastAsia="Garamond" w:hAnsi="Arial" w:cs="Arial"/>
                <w:b/>
                <w:sz w:val="24"/>
                <w:szCs w:val="24"/>
              </w:rPr>
              <w:t>Nome do projeto</w:t>
            </w:r>
          </w:p>
        </w:tc>
        <w:tc>
          <w:tcPr>
            <w:tcW w:w="3402" w:type="dxa"/>
          </w:tcPr>
          <w:p w:rsidR="007F19C0" w:rsidRPr="006547EA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6547EA">
              <w:rPr>
                <w:rFonts w:ascii="Arial" w:eastAsia="Garamond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1701" w:type="dxa"/>
          </w:tcPr>
          <w:p w:rsidR="007F19C0" w:rsidRPr="006547EA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6547EA">
              <w:rPr>
                <w:rFonts w:ascii="Arial" w:eastAsia="Garamond" w:hAnsi="Arial" w:cs="Arial"/>
                <w:b/>
                <w:sz w:val="24"/>
                <w:szCs w:val="24"/>
              </w:rPr>
              <w:t>Situação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Nossa Padroeira, Santa Cecília</w:t>
            </w:r>
          </w:p>
        </w:tc>
        <w:tc>
          <w:tcPr>
            <w:tcW w:w="3402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Studio de Dança Claudia Goetten (coletivo)</w:t>
            </w:r>
          </w:p>
        </w:tc>
        <w:tc>
          <w:tcPr>
            <w:tcW w:w="1701" w:type="dxa"/>
          </w:tcPr>
          <w:p w:rsidR="007F19C0" w:rsidRDefault="007F19C0" w:rsidP="007F19C0">
            <w:pPr>
              <w:spacing w:after="112"/>
              <w:ind w:right="3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 Florescer do Teatro</w:t>
            </w:r>
          </w:p>
        </w:tc>
        <w:tc>
          <w:tcPr>
            <w:tcW w:w="3402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Cruz Vermelha Brasileira (PJ)</w:t>
            </w:r>
          </w:p>
        </w:tc>
        <w:tc>
          <w:tcPr>
            <w:tcW w:w="1701" w:type="dxa"/>
          </w:tcPr>
          <w:p w:rsidR="007F19C0" w:rsidRDefault="007F19C0" w:rsidP="007F19C0">
            <w:pPr>
              <w:spacing w:after="112"/>
              <w:ind w:right="3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Podcazza</w:t>
            </w:r>
            <w:proofErr w:type="spellEnd"/>
          </w:p>
        </w:tc>
        <w:tc>
          <w:tcPr>
            <w:tcW w:w="3402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Celso Menegussi Júnior (PF)</w:t>
            </w:r>
          </w:p>
        </w:tc>
        <w:tc>
          <w:tcPr>
            <w:tcW w:w="1701" w:type="dxa"/>
          </w:tcPr>
          <w:p w:rsidR="007F19C0" w:rsidRDefault="007F19C0" w:rsidP="007F19C0">
            <w:pPr>
              <w:spacing w:after="112"/>
              <w:ind w:right="3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Invernada Artística com Audiovisual</w:t>
            </w:r>
          </w:p>
        </w:tc>
        <w:tc>
          <w:tcPr>
            <w:tcW w:w="3402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Claudemir de Souza (PF)</w:t>
            </w:r>
          </w:p>
        </w:tc>
        <w:tc>
          <w:tcPr>
            <w:tcW w:w="1701" w:type="dxa"/>
          </w:tcPr>
          <w:p w:rsidR="007F19C0" w:rsidRDefault="007F19C0" w:rsidP="007F19C0">
            <w:pPr>
              <w:spacing w:after="112"/>
              <w:ind w:right="3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Documentário Associação de Moradores do Bairro Nossa Senhora Aparecida – 10 anos</w:t>
            </w:r>
          </w:p>
        </w:tc>
        <w:tc>
          <w:tcPr>
            <w:tcW w:w="3402" w:type="dxa"/>
          </w:tcPr>
          <w:p w:rsidR="007F19C0" w:rsidRDefault="007F19C0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Associação de Moradores do Bairro Nossa Senhora Aparecida (PJ)</w:t>
            </w:r>
          </w:p>
        </w:tc>
        <w:tc>
          <w:tcPr>
            <w:tcW w:w="1701" w:type="dxa"/>
          </w:tcPr>
          <w:p w:rsidR="007F19C0" w:rsidRPr="007F19C0" w:rsidRDefault="007F19C0" w:rsidP="007F19C0">
            <w:pPr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Releitura do Hino Municipal</w:t>
            </w:r>
          </w:p>
        </w:tc>
        <w:tc>
          <w:tcPr>
            <w:tcW w:w="3402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Osmar Caetano Júnior (PF)</w:t>
            </w:r>
          </w:p>
        </w:tc>
        <w:tc>
          <w:tcPr>
            <w:tcW w:w="1701" w:type="dxa"/>
          </w:tcPr>
          <w:p w:rsidR="007F19C0" w:rsidRDefault="007F19C0" w:rsidP="007F19C0">
            <w:pPr>
              <w:spacing w:after="112"/>
              <w:ind w:right="3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Ceciliana</w:t>
            </w:r>
            <w:proofErr w:type="spellEnd"/>
            <w:r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Videográfica</w:t>
            </w:r>
            <w:proofErr w:type="spellEnd"/>
          </w:p>
        </w:tc>
        <w:tc>
          <w:tcPr>
            <w:tcW w:w="3402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Rafael Rech Belmonte (PF)</w:t>
            </w:r>
          </w:p>
        </w:tc>
        <w:tc>
          <w:tcPr>
            <w:tcW w:w="1701" w:type="dxa"/>
          </w:tcPr>
          <w:p w:rsidR="007F19C0" w:rsidRDefault="007F19C0" w:rsidP="007F19C0">
            <w:pPr>
              <w:spacing w:after="112"/>
              <w:ind w:right="3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Pequenos Grandes Artistas</w:t>
            </w:r>
          </w:p>
        </w:tc>
        <w:tc>
          <w:tcPr>
            <w:tcW w:w="3402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Sandra Belli Tobias (PF)</w:t>
            </w:r>
          </w:p>
        </w:tc>
        <w:tc>
          <w:tcPr>
            <w:tcW w:w="1701" w:type="dxa"/>
          </w:tcPr>
          <w:p w:rsidR="007F19C0" w:rsidRDefault="007D1704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Fanfarra </w:t>
            </w: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Cazzamali</w:t>
            </w:r>
            <w:proofErr w:type="spellEnd"/>
          </w:p>
        </w:tc>
        <w:tc>
          <w:tcPr>
            <w:tcW w:w="3402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Andrea Cristina Almeida (PF)</w:t>
            </w:r>
          </w:p>
        </w:tc>
        <w:tc>
          <w:tcPr>
            <w:tcW w:w="1701" w:type="dxa"/>
          </w:tcPr>
          <w:p w:rsidR="007F19C0" w:rsidRDefault="007D1704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Lendas de Santa Cecília </w:t>
            </w:r>
          </w:p>
        </w:tc>
        <w:tc>
          <w:tcPr>
            <w:tcW w:w="3402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Caléu</w:t>
            </w:r>
            <w:proofErr w:type="spellEnd"/>
            <w:r>
              <w:rPr>
                <w:rFonts w:ascii="Arial" w:eastAsia="Garamond" w:hAnsi="Arial" w:cs="Arial"/>
                <w:sz w:val="24"/>
                <w:szCs w:val="24"/>
              </w:rPr>
              <w:t xml:space="preserve"> Nilson Moraes (PF)</w:t>
            </w:r>
          </w:p>
        </w:tc>
        <w:tc>
          <w:tcPr>
            <w:tcW w:w="1701" w:type="dxa"/>
          </w:tcPr>
          <w:p w:rsidR="007F19C0" w:rsidRDefault="007D1704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Espetáculo de Dança e Teatro Alice no País das Maravilhas</w:t>
            </w:r>
          </w:p>
        </w:tc>
        <w:tc>
          <w:tcPr>
            <w:tcW w:w="3402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Studio de Dança Claudia Goetten (coletivo)</w:t>
            </w:r>
          </w:p>
        </w:tc>
        <w:tc>
          <w:tcPr>
            <w:tcW w:w="1701" w:type="dxa"/>
          </w:tcPr>
          <w:p w:rsidR="007F19C0" w:rsidRDefault="007D1704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  <w:tr w:rsidR="007F19C0" w:rsidTr="007D1704">
        <w:tc>
          <w:tcPr>
            <w:tcW w:w="4106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I Mostra de Teatro Contestado</w:t>
            </w:r>
          </w:p>
        </w:tc>
        <w:tc>
          <w:tcPr>
            <w:tcW w:w="3402" w:type="dxa"/>
          </w:tcPr>
          <w:p w:rsidR="007F19C0" w:rsidRDefault="007F19C0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Associação de Moradores do Bairro Nossa Senhora Aparecida (PJ)</w:t>
            </w:r>
          </w:p>
        </w:tc>
        <w:tc>
          <w:tcPr>
            <w:tcW w:w="1701" w:type="dxa"/>
          </w:tcPr>
          <w:p w:rsidR="007F19C0" w:rsidRDefault="007D1704" w:rsidP="007F19C0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Habilitado</w:t>
            </w:r>
          </w:p>
        </w:tc>
      </w:tr>
    </w:tbl>
    <w:p w:rsidR="006547EA" w:rsidRPr="00B96FB2" w:rsidRDefault="006547EA" w:rsidP="006547EA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A1420A">
        <w:rPr>
          <w:noProof/>
          <w:sz w:val="52"/>
          <w:szCs w:val="52"/>
        </w:rPr>
        <w:lastRenderedPageBreak/>
        <w:pict>
          <v:shape id="_x0000_s1027" type="#_x0000_t75" style="position:absolute;left:0;text-align:left;margin-left:-59.55pt;margin-top:-14.55pt;width:117.95pt;height:87pt;z-index:251658240;mso-wrap-edited:f;mso-position-horizontal-relative:text;mso-position-vertical-relative:text" wrapcoords="-150 0 -150 21440 21600 21440 21600 0 -150 0">
            <v:imagedata r:id="rId4" o:title=""/>
            <w10:wrap type="tight"/>
          </v:shape>
          <o:OLEObject Type="Embed" ProgID="PBrush" ShapeID="_x0000_s1027" DrawAspect="Content" ObjectID="_1764416507" r:id="rId6"/>
        </w:pict>
      </w:r>
      <w:r w:rsidRPr="00B96FB2">
        <w:rPr>
          <w:rFonts w:ascii="Kunstler Script" w:hAnsi="Kunstler Script"/>
          <w:b/>
          <w:sz w:val="52"/>
          <w:szCs w:val="52"/>
        </w:rPr>
        <w:t>Estado de Santa Catarina</w:t>
      </w:r>
    </w:p>
    <w:p w:rsidR="006547EA" w:rsidRPr="00B96FB2" w:rsidRDefault="006547EA" w:rsidP="006547EA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B96FB2">
        <w:rPr>
          <w:rFonts w:ascii="Kunstler Script" w:hAnsi="Kunstler Script"/>
          <w:b/>
          <w:sz w:val="52"/>
          <w:szCs w:val="52"/>
        </w:rPr>
        <w:t>Prefeitura do Município de Santa Cecília</w:t>
      </w:r>
    </w:p>
    <w:p w:rsidR="006547EA" w:rsidRDefault="006547EA" w:rsidP="006547EA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6547EA" w:rsidRDefault="006547EA" w:rsidP="006547EA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6547EA" w:rsidRPr="00B00C88" w:rsidRDefault="006547EA" w:rsidP="006547EA">
      <w:pPr>
        <w:spacing w:after="74"/>
        <w:ind w:left="33" w:firstLine="38"/>
        <w:jc w:val="center"/>
        <w:rPr>
          <w:rFonts w:ascii="Arial" w:hAnsi="Arial" w:cs="Arial"/>
          <w:sz w:val="24"/>
          <w:szCs w:val="24"/>
        </w:rPr>
      </w:pPr>
      <w:r w:rsidRPr="00B00C88">
        <w:rPr>
          <w:rFonts w:ascii="Arial" w:eastAsia="Garamond" w:hAnsi="Arial" w:cs="Arial"/>
          <w:b/>
          <w:sz w:val="24"/>
          <w:szCs w:val="24"/>
          <w:u w:val="single" w:color="000000"/>
        </w:rPr>
        <w:t>EDITAL Nº</w:t>
      </w:r>
      <w:r>
        <w:rPr>
          <w:rFonts w:ascii="Arial" w:eastAsia="Garamond" w:hAnsi="Arial" w:cs="Arial"/>
          <w:b/>
          <w:sz w:val="24"/>
          <w:szCs w:val="24"/>
          <w:u w:val="single" w:color="000000"/>
        </w:rPr>
        <w:t xml:space="preserve"> 04/2023</w:t>
      </w:r>
    </w:p>
    <w:p w:rsidR="00185FC4" w:rsidRDefault="006547EA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</w:r>
      <w:r>
        <w:rPr>
          <w:rFonts w:ascii="Arial" w:eastAsia="Garamond" w:hAnsi="Arial" w:cs="Arial"/>
          <w:sz w:val="24"/>
          <w:szCs w:val="24"/>
        </w:rPr>
        <w:tab/>
        <w:t>Fl. 02</w:t>
      </w:r>
    </w:p>
    <w:p w:rsidR="009546EE" w:rsidRDefault="007D1704" w:rsidP="007D170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Os responsáveis pelos projetos habilitados deverão comparecer na sede da Prefeitura Municipal de Santa Cecília até a data de 31/01/2024 para assinarem o Termo de Execução Cultural, documento indispensável para a liberação dos recursos. Deverão estar atentos para a documentação exigida nos respectivos editais, com especial atenção para as certidões negativas de débitos e a necessidade de conta bancária específica. </w:t>
      </w:r>
    </w:p>
    <w:p w:rsidR="00A336DB" w:rsidRDefault="00A336DB" w:rsidP="007D170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O valor dos repasses será o solicitado no respectivo projeto, respeitados os tetos das categorias, sendo que não fora autorizada a suplementação dos valores pela via dos remanejamentos. </w:t>
      </w:r>
      <w:bookmarkStart w:id="0" w:name="_GoBack"/>
      <w:bookmarkEnd w:id="0"/>
    </w:p>
    <w:p w:rsidR="00927232" w:rsidRPr="009546EE" w:rsidRDefault="00B00C88" w:rsidP="009546EE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B00C88">
        <w:rPr>
          <w:rFonts w:ascii="Arial" w:eastAsia="Garamond" w:hAnsi="Arial" w:cs="Arial"/>
          <w:sz w:val="24"/>
          <w:szCs w:val="24"/>
        </w:rPr>
        <w:t xml:space="preserve">Para que se torne de amplo conhecimento público, é expedido o presente Edital de Convocação. </w:t>
      </w:r>
    </w:p>
    <w:p w:rsidR="00927232" w:rsidRPr="00B00C88" w:rsidRDefault="00927232" w:rsidP="00B00C88">
      <w:pPr>
        <w:spacing w:after="112"/>
        <w:ind w:firstLine="2222"/>
        <w:jc w:val="both"/>
        <w:rPr>
          <w:rFonts w:ascii="Arial" w:hAnsi="Arial" w:cs="Arial"/>
          <w:sz w:val="24"/>
          <w:szCs w:val="24"/>
        </w:rPr>
      </w:pPr>
    </w:p>
    <w:p w:rsidR="00927232" w:rsidRPr="00B00C88" w:rsidRDefault="006547EA" w:rsidP="00B00C88">
      <w:pPr>
        <w:spacing w:after="96"/>
        <w:ind w:left="38" w:right="3" w:firstLine="22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aramond" w:hAnsi="Arial" w:cs="Arial"/>
          <w:color w:val="222222"/>
          <w:sz w:val="24"/>
          <w:szCs w:val="24"/>
        </w:rPr>
        <w:t>Santa Cecília, 18</w:t>
      </w:r>
      <w:r w:rsidR="00B00C88" w:rsidRPr="00B00C88">
        <w:rPr>
          <w:rFonts w:ascii="Arial" w:eastAsia="Garamond" w:hAnsi="Arial" w:cs="Arial"/>
          <w:color w:val="222222"/>
          <w:sz w:val="24"/>
          <w:szCs w:val="24"/>
        </w:rPr>
        <w:t xml:space="preserve"> de </w:t>
      </w:r>
      <w:r w:rsidR="00610DC6">
        <w:rPr>
          <w:rFonts w:ascii="Arial" w:eastAsia="Garamond" w:hAnsi="Arial" w:cs="Arial"/>
          <w:color w:val="222222"/>
          <w:sz w:val="24"/>
          <w:szCs w:val="24"/>
        </w:rPr>
        <w:t>dezembro</w:t>
      </w:r>
      <w:r w:rsidR="00B00C88" w:rsidRPr="00B00C88">
        <w:rPr>
          <w:rFonts w:ascii="Arial" w:eastAsia="Garamond" w:hAnsi="Arial" w:cs="Arial"/>
          <w:color w:val="222222"/>
          <w:sz w:val="24"/>
          <w:szCs w:val="24"/>
        </w:rPr>
        <w:t xml:space="preserve"> de 2023. </w:t>
      </w:r>
    </w:p>
    <w:p w:rsidR="006547EA" w:rsidRDefault="006547EA" w:rsidP="006547EA">
      <w:pPr>
        <w:spacing w:after="2" w:line="337" w:lineRule="auto"/>
        <w:ind w:right="5135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</w:p>
    <w:p w:rsidR="006547EA" w:rsidRDefault="006547EA" w:rsidP="006547EA">
      <w:pPr>
        <w:spacing w:after="2" w:line="337" w:lineRule="auto"/>
        <w:ind w:right="5135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</w:p>
    <w:p w:rsidR="006547EA" w:rsidRDefault="006547EA" w:rsidP="006547EA">
      <w:pPr>
        <w:spacing w:after="2" w:line="337" w:lineRule="auto"/>
        <w:ind w:right="5135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  <w:r>
        <w:rPr>
          <w:rFonts w:ascii="Arial" w:eastAsia="Garamond" w:hAnsi="Arial" w:cs="Arial"/>
          <w:b/>
          <w:color w:val="222222"/>
          <w:sz w:val="24"/>
          <w:szCs w:val="24"/>
        </w:rPr>
        <w:t xml:space="preserve"> ALESSANDRA APARECIDA GARCIA</w:t>
      </w:r>
    </w:p>
    <w:p w:rsidR="006547EA" w:rsidRDefault="006547EA" w:rsidP="006547EA">
      <w:pPr>
        <w:spacing w:after="2" w:line="337" w:lineRule="auto"/>
        <w:ind w:right="5135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  <w:r>
        <w:rPr>
          <w:rFonts w:ascii="Arial" w:eastAsia="Garamond" w:hAnsi="Arial" w:cs="Arial"/>
          <w:b/>
          <w:color w:val="222222"/>
          <w:sz w:val="24"/>
          <w:szCs w:val="24"/>
        </w:rPr>
        <w:t xml:space="preserve">           PREFEITA MUNICIPAL</w:t>
      </w:r>
    </w:p>
    <w:sectPr w:rsidR="006547EA" w:rsidSect="00B00C88">
      <w:pgSz w:w="11906" w:h="16838"/>
      <w:pgMar w:top="709" w:right="1133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7232"/>
    <w:rsid w:val="00185FC4"/>
    <w:rsid w:val="002E172B"/>
    <w:rsid w:val="003B3C47"/>
    <w:rsid w:val="00435055"/>
    <w:rsid w:val="004A640E"/>
    <w:rsid w:val="00610DC6"/>
    <w:rsid w:val="006547EA"/>
    <w:rsid w:val="006C735F"/>
    <w:rsid w:val="007760D1"/>
    <w:rsid w:val="007A7CE8"/>
    <w:rsid w:val="007D1704"/>
    <w:rsid w:val="007F19C0"/>
    <w:rsid w:val="0085191E"/>
    <w:rsid w:val="008C1806"/>
    <w:rsid w:val="00927232"/>
    <w:rsid w:val="009546EE"/>
    <w:rsid w:val="009754A6"/>
    <w:rsid w:val="00A336DB"/>
    <w:rsid w:val="00B00C88"/>
    <w:rsid w:val="00BB0876"/>
    <w:rsid w:val="00C06F39"/>
    <w:rsid w:val="00D0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06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547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547EA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6547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PY"/>
    </w:rPr>
  </w:style>
  <w:style w:type="character" w:customStyle="1" w:styleId="TtuloChar">
    <w:name w:val="Título Char"/>
    <w:basedOn w:val="Fontepargpadro"/>
    <w:link w:val="Ttulo"/>
    <w:rsid w:val="006547EA"/>
    <w:rPr>
      <w:rFonts w:ascii="Times New Roman" w:eastAsia="Times New Roman" w:hAnsi="Times New Roman" w:cs="Times New Roman"/>
      <w:b/>
      <w:bCs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RioNegro</dc:creator>
  <cp:lastModifiedBy>Doriani</cp:lastModifiedBy>
  <cp:revision>2</cp:revision>
  <cp:lastPrinted>2023-12-18T17:51:00Z</cp:lastPrinted>
  <dcterms:created xsi:type="dcterms:W3CDTF">2023-12-18T17:52:00Z</dcterms:created>
  <dcterms:modified xsi:type="dcterms:W3CDTF">2023-12-18T17:52:00Z</dcterms:modified>
</cp:coreProperties>
</file>